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- 710-720 W Linden Avenue Linden NJ 07036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